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Pr="00397BB3" w:rsidRDefault="0055068B"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55618D">
        <w:rPr>
          <w:rFonts w:eastAsia="MingLiU" w:cs="Times New Roman"/>
          <w:b/>
          <w:i/>
          <w:color w:val="7030A0"/>
          <w:kern w:val="36"/>
          <w:sz w:val="28"/>
          <w:szCs w:val="28"/>
          <w:lang w:eastAsia="ru-RU"/>
        </w:rPr>
        <w:t>3</w:t>
      </w:r>
      <w:r w:rsidR="005F240A">
        <w:rPr>
          <w:rFonts w:eastAsia="MingLiU" w:cs="Times New Roman"/>
          <w:b/>
          <w:i/>
          <w:color w:val="7030A0"/>
          <w:kern w:val="36"/>
          <w:sz w:val="28"/>
          <w:szCs w:val="28"/>
          <w:lang w:eastAsia="ru-RU"/>
        </w:rPr>
        <w:t>1</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7"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8"/>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5F240A" w:rsidRDefault="007A7857" w:rsidP="005F240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5F240A">
        <w:rPr>
          <w:rFonts w:ascii="Times New Roman" w:eastAsia="Times New Roman" w:hAnsi="Times New Roman" w:cs="Times New Roman"/>
          <w:b/>
          <w:caps/>
          <w:color w:val="000000"/>
          <w:kern w:val="36"/>
          <w:sz w:val="28"/>
          <w:szCs w:val="28"/>
          <w:lang w:eastAsia="ru-RU"/>
        </w:rPr>
        <w:t xml:space="preserve">выбор кредитной организации </w:t>
      </w:r>
    </w:p>
    <w:p w:rsidR="00CB3EDF" w:rsidRPr="000B2C11" w:rsidRDefault="005F240A" w:rsidP="005F240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для открытия спецсчета</w:t>
      </w:r>
      <w:r w:rsidR="007A7857"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Возможно ли осуществлять оплату </w:t>
      </w: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комиссионного вознаграждения банку за счет средств, </w:t>
      </w:r>
    </w:p>
    <w:p w:rsidR="00681C8C"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находящихся на специальном счете</w:t>
      </w:r>
      <w:r w:rsidR="00681C8C">
        <w:rPr>
          <w:rFonts w:ascii="Times New Roman" w:hAnsi="Times New Roman" w:cs="Times New Roman"/>
          <w:b/>
          <w:i/>
          <w:color w:val="0070C0"/>
          <w:sz w:val="32"/>
          <w:szCs w:val="32"/>
          <w:u w:val="single"/>
        </w:rPr>
        <w:t>?</w:t>
      </w:r>
    </w:p>
    <w:p w:rsidR="00681C8C" w:rsidRPr="000C3841" w:rsidRDefault="00681C8C" w:rsidP="00D128B1">
      <w:pPr>
        <w:shd w:val="clear" w:color="auto" w:fill="FFFFFF"/>
        <w:spacing w:after="0" w:line="240" w:lineRule="auto"/>
        <w:jc w:val="center"/>
        <w:rPr>
          <w:rFonts w:ascii="Times New Roman" w:hAnsi="Times New Roman" w:cs="Times New Roman"/>
          <w:color w:val="0070C0"/>
          <w:sz w:val="20"/>
          <w:szCs w:val="20"/>
        </w:rPr>
      </w:pP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В соответствии с пунктами 2.1 и 2.8 главы 2 инструкции Банка России от 14 сентября 2006 года №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многоквартирном доме. В соответствии с частью 1 статьи 177 Жилищного кодекса  Российской Федерации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спецсчета.</w:t>
      </w: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 xml:space="preserve">Частью 1 статьи 174 Жилищного кодекса Российской Федерации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w:t>
      </w:r>
      <w:r w:rsidRPr="005F240A">
        <w:rPr>
          <w:color w:val="000000"/>
          <w:sz w:val="28"/>
          <w:szCs w:val="28"/>
        </w:rPr>
        <w:lastRenderedPageBreak/>
        <w:t>Российской Федерации, может осуществляться финансирование только работ, предусмотренных частью 1 статьи 166 Жилищного кодекса и работ, предусмотренных законом субъекта Российской Федерации, а также погашения кредитов, займов, полученных и использованных для оплаты данных работ, и  уплаты процентов за пользование этими кредитами, займами.</w:t>
      </w: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Таки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Вместе с тем договором банковского счета могут быть предусмотрены иные источники уплаты комиссионных вознаграждений банку, например: средства фонда капитального ремонта, сформированного исходя из размера взноса, превышающего минимальный,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Решением субъекта Российской Федерации на регионального оператора – владельца специального счета - может быть возложена обязанность по внесению расходов на уплату комиссионных вознаграждений банку за открытие и обслуживание специального счета, что предполагает включение средств на эти цели в смету на содержание регионального оператора.</w:t>
      </w:r>
    </w:p>
    <w:p w:rsidR="00D128B1" w:rsidRPr="005F240A" w:rsidRDefault="00D128B1" w:rsidP="00D128B1">
      <w:pPr>
        <w:pStyle w:val="a3"/>
        <w:shd w:val="clear" w:color="auto" w:fill="FFFFFF"/>
        <w:spacing w:before="0" w:beforeAutospacing="0" w:after="0" w:afterAutospacing="0"/>
        <w:ind w:firstLine="708"/>
        <w:jc w:val="both"/>
        <w:rPr>
          <w:color w:val="000000"/>
          <w:sz w:val="28"/>
          <w:szCs w:val="28"/>
        </w:rPr>
      </w:pP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Как выбрать кредитную организацию </w:t>
      </w: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при открытии спецсчета</w:t>
      </w:r>
      <w:r>
        <w:rPr>
          <w:rFonts w:ascii="Times New Roman" w:hAnsi="Times New Roman" w:cs="Times New Roman"/>
          <w:b/>
          <w:i/>
          <w:color w:val="0070C0"/>
          <w:sz w:val="32"/>
          <w:szCs w:val="32"/>
          <w:u w:val="single"/>
        </w:rPr>
        <w:t>?</w:t>
      </w:r>
    </w:p>
    <w:p w:rsidR="005F240A" w:rsidRPr="00D128B1" w:rsidRDefault="005F240A" w:rsidP="00D128B1">
      <w:pPr>
        <w:pStyle w:val="a3"/>
        <w:shd w:val="clear" w:color="auto" w:fill="FFFFFF"/>
        <w:spacing w:before="0" w:beforeAutospacing="0" w:after="0" w:afterAutospacing="0"/>
        <w:ind w:left="720"/>
        <w:rPr>
          <w:color w:val="000000"/>
          <w:sz w:val="20"/>
          <w:szCs w:val="20"/>
        </w:rPr>
      </w:pP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Специальный счет открывается в банке в соответствии с Гражданским кодексом РФ и особенностями, установленными Жилищным кодексом РФ (часть 1 статьи 175 ЖК РФ). Центральный банк РФ ежеквартально размещает информацию о кредитных организациях, которые соответствуют требованиям, установленным ЖК РФ, на своем официальном сайте в сети "Интернет" (часть 2 статьи 176 ЖК РФ).</w:t>
      </w: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Таким образом, специальный счет может быть открыт только в банке.</w:t>
      </w:r>
    </w:p>
    <w:p w:rsid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 xml:space="preserve">Открытие счета, за исключением специальных счетов, в территориальных органах Федерального казначейства или финансовых органах субъектов Российской Федерации, - право регионального оператора, если это предусмотрено законами субъектов Российской Федерации (часть 4 статьи 180 </w:t>
      </w:r>
      <w:r w:rsidR="00D128B1" w:rsidRPr="005F240A">
        <w:rPr>
          <w:color w:val="000000"/>
          <w:sz w:val="28"/>
          <w:szCs w:val="28"/>
        </w:rPr>
        <w:t>Жилищного</w:t>
      </w:r>
      <w:r w:rsidRPr="005F240A">
        <w:rPr>
          <w:color w:val="000000"/>
          <w:sz w:val="28"/>
          <w:szCs w:val="28"/>
        </w:rPr>
        <w:t xml:space="preserve"> кодекса РФ).</w:t>
      </w:r>
    </w:p>
    <w:p w:rsidR="00D128B1" w:rsidRPr="005F240A" w:rsidRDefault="00D128B1" w:rsidP="00D128B1">
      <w:pPr>
        <w:pStyle w:val="a3"/>
        <w:shd w:val="clear" w:color="auto" w:fill="FFFFFF"/>
        <w:spacing w:before="0" w:beforeAutospacing="0" w:after="0" w:afterAutospacing="0"/>
        <w:ind w:firstLine="708"/>
        <w:jc w:val="both"/>
        <w:rPr>
          <w:color w:val="000000"/>
          <w:sz w:val="28"/>
          <w:szCs w:val="28"/>
        </w:rPr>
      </w:pP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Где можно найти список банков, </w:t>
      </w: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уполномоченных открывать </w:t>
      </w: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и вести специальные счета для капремонта МКД</w:t>
      </w:r>
      <w:r>
        <w:rPr>
          <w:rFonts w:ascii="Times New Roman" w:hAnsi="Times New Roman" w:cs="Times New Roman"/>
          <w:b/>
          <w:i/>
          <w:color w:val="0070C0"/>
          <w:sz w:val="32"/>
          <w:szCs w:val="32"/>
          <w:u w:val="single"/>
        </w:rPr>
        <w:t>?</w:t>
      </w:r>
    </w:p>
    <w:p w:rsidR="005F240A" w:rsidRPr="00D128B1" w:rsidRDefault="005F240A" w:rsidP="00D128B1">
      <w:pPr>
        <w:pStyle w:val="a3"/>
        <w:shd w:val="clear" w:color="auto" w:fill="FFFFFF"/>
        <w:spacing w:before="0" w:beforeAutospacing="0" w:after="0" w:afterAutospacing="0"/>
        <w:ind w:left="720"/>
        <w:rPr>
          <w:color w:val="000000"/>
          <w:sz w:val="28"/>
          <w:szCs w:val="28"/>
        </w:rPr>
      </w:pPr>
    </w:p>
    <w:p w:rsid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 xml:space="preserve">Согласно пункту 2 статьи 176 Жилищного Кодекса Российской Федерации,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миллирадов рублей.  Список банков, уполномоченных </w:t>
      </w:r>
      <w:r w:rsidRPr="005F240A">
        <w:rPr>
          <w:color w:val="000000"/>
          <w:sz w:val="28"/>
          <w:szCs w:val="28"/>
        </w:rPr>
        <w:lastRenderedPageBreak/>
        <w:t>открывать и вести счета для формирования фонда капитального ремонта общего имущества в МКД, публикуется на сайте Центрального банка Российской Федерации в подразделе «Информация по кредитным организациям»: </w:t>
      </w:r>
      <w:hyperlink r:id="rId9" w:history="1">
        <w:r w:rsidRPr="005F240A">
          <w:rPr>
            <w:rStyle w:val="aa"/>
            <w:color w:val="1063A4"/>
            <w:sz w:val="28"/>
            <w:szCs w:val="28"/>
          </w:rPr>
          <w:t>http://www.cbr.ru/credit/listfz.asp</w:t>
        </w:r>
      </w:hyperlink>
    </w:p>
    <w:p w:rsidR="00D128B1" w:rsidRPr="005F240A" w:rsidRDefault="00D128B1" w:rsidP="00D128B1">
      <w:pPr>
        <w:pStyle w:val="a3"/>
        <w:shd w:val="clear" w:color="auto" w:fill="FFFFFF"/>
        <w:spacing w:before="0" w:beforeAutospacing="0" w:after="0" w:afterAutospacing="0"/>
        <w:ind w:firstLine="708"/>
        <w:jc w:val="both"/>
        <w:rPr>
          <w:color w:val="000000"/>
          <w:sz w:val="28"/>
          <w:szCs w:val="28"/>
        </w:rPr>
      </w:pPr>
    </w:p>
    <w:p w:rsidR="00D128B1"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Из каких средств производится оплата комиссии банку, </w:t>
      </w: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в котором открыт специальный счет</w:t>
      </w:r>
      <w:r>
        <w:rPr>
          <w:rFonts w:ascii="Times New Roman" w:hAnsi="Times New Roman" w:cs="Times New Roman"/>
          <w:b/>
          <w:i/>
          <w:color w:val="0070C0"/>
          <w:sz w:val="32"/>
          <w:szCs w:val="32"/>
          <w:u w:val="single"/>
        </w:rPr>
        <w:t>?</w:t>
      </w:r>
    </w:p>
    <w:p w:rsidR="005F240A" w:rsidRPr="00D128B1" w:rsidRDefault="005F240A" w:rsidP="00D128B1">
      <w:pPr>
        <w:pStyle w:val="a3"/>
        <w:shd w:val="clear" w:color="auto" w:fill="FFFFFF"/>
        <w:spacing w:before="0" w:beforeAutospacing="0" w:after="0" w:afterAutospacing="0"/>
        <w:ind w:left="720"/>
        <w:rPr>
          <w:rFonts w:eastAsiaTheme="minorHAnsi"/>
          <w:color w:val="000000"/>
          <w:sz w:val="20"/>
          <w:szCs w:val="20"/>
          <w:lang w:eastAsia="en-US"/>
        </w:rPr>
      </w:pP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 (часть 1 статьи 170 ЖК РФ). При этом пунктом 6 части 1 статьи 177 ЖК РФ допускается начисление процентов за пользование денежными средствами и списание комиссионного вознаграждения со специального счета в соответствии с условиями договора специального счета.</w:t>
      </w: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Вопрос уплаты комиссии регулируется договором между банком и клиентом - владельцем специального счёта. В случае, если у клиента отсутствуют источники оплаты услуг банка, банк имеет право отказать ему в заключении договора.</w:t>
      </w:r>
    </w:p>
    <w:p w:rsid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В случае, если собственники помещений в МКД не приняли решение необходимым большинством (большинством не менее двух третей голосов от общего количества собственников помещений в МКД, часть 1 статьи 46 ЖК РФ), целесообразно рассмотреть вопрос о включении комиссионного вознаграждения банка в состав платы за содержание жилого помещения. Порядок принятия такого решения зависит от способа управления многоквартирным домом, при этом необходимым большинством для принятия такого решения являтеся большинство голосов от общего числа голосов принимающих участие в этом собрании собственников помещений в МКД.</w:t>
      </w:r>
    </w:p>
    <w:p w:rsidR="00D128B1" w:rsidRPr="005F240A" w:rsidRDefault="00D128B1" w:rsidP="00D128B1">
      <w:pPr>
        <w:pStyle w:val="a3"/>
        <w:shd w:val="clear" w:color="auto" w:fill="FFFFFF"/>
        <w:spacing w:before="0" w:beforeAutospacing="0" w:after="0" w:afterAutospacing="0"/>
        <w:ind w:firstLine="708"/>
        <w:jc w:val="both"/>
        <w:rPr>
          <w:color w:val="000000"/>
          <w:sz w:val="28"/>
          <w:szCs w:val="28"/>
        </w:rPr>
      </w:pPr>
    </w:p>
    <w:p w:rsidR="00D128B1"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Кто должен следить за тем, чтобы выбранная собственниками кредитная организация соответствовала требованиям</w:t>
      </w:r>
    </w:p>
    <w:p w:rsidR="00D128B1"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 xml:space="preserve"> по величине собственных средств (капитала), </w:t>
      </w:r>
    </w:p>
    <w:p w:rsidR="005F240A" w:rsidRDefault="005F240A" w:rsidP="00D128B1">
      <w:pPr>
        <w:shd w:val="clear" w:color="auto" w:fill="FFFFFF"/>
        <w:spacing w:after="0" w:line="240" w:lineRule="auto"/>
        <w:jc w:val="center"/>
        <w:rPr>
          <w:rFonts w:ascii="Times New Roman" w:hAnsi="Times New Roman" w:cs="Times New Roman"/>
          <w:b/>
          <w:i/>
          <w:color w:val="0070C0"/>
          <w:sz w:val="32"/>
          <w:szCs w:val="32"/>
          <w:u w:val="single"/>
        </w:rPr>
      </w:pPr>
      <w:r w:rsidRPr="005F240A">
        <w:rPr>
          <w:rFonts w:ascii="Times New Roman" w:hAnsi="Times New Roman" w:cs="Times New Roman"/>
          <w:b/>
          <w:i/>
          <w:color w:val="0070C0"/>
          <w:sz w:val="32"/>
          <w:szCs w:val="32"/>
          <w:u w:val="single"/>
        </w:rPr>
        <w:t>установленным частью 2 статьи 176 ЖК РФ</w:t>
      </w:r>
      <w:r>
        <w:rPr>
          <w:rFonts w:ascii="Times New Roman" w:hAnsi="Times New Roman" w:cs="Times New Roman"/>
          <w:b/>
          <w:i/>
          <w:color w:val="0070C0"/>
          <w:sz w:val="32"/>
          <w:szCs w:val="32"/>
          <w:u w:val="single"/>
        </w:rPr>
        <w:t>?</w:t>
      </w:r>
    </w:p>
    <w:p w:rsidR="005F240A" w:rsidRPr="00D128B1" w:rsidRDefault="005F240A" w:rsidP="00D128B1">
      <w:pPr>
        <w:pStyle w:val="a3"/>
        <w:shd w:val="clear" w:color="auto" w:fill="FFFFFF"/>
        <w:spacing w:before="0" w:beforeAutospacing="0" w:after="0" w:afterAutospacing="0"/>
        <w:ind w:left="720"/>
        <w:rPr>
          <w:color w:val="000000"/>
          <w:sz w:val="20"/>
          <w:szCs w:val="20"/>
        </w:rPr>
      </w:pPr>
    </w:p>
    <w:p w:rsidR="005F240A" w:rsidRPr="005F240A" w:rsidRDefault="005F240A" w:rsidP="00D128B1">
      <w:pPr>
        <w:pStyle w:val="a3"/>
        <w:shd w:val="clear" w:color="auto" w:fill="FFFFFF"/>
        <w:spacing w:before="0" w:beforeAutospacing="0" w:after="0" w:afterAutospacing="0"/>
        <w:ind w:firstLine="708"/>
        <w:jc w:val="both"/>
        <w:rPr>
          <w:color w:val="000000"/>
          <w:sz w:val="28"/>
          <w:szCs w:val="28"/>
        </w:rPr>
      </w:pPr>
      <w:r w:rsidRPr="005F240A">
        <w:rPr>
          <w:color w:val="000000"/>
          <w:sz w:val="28"/>
          <w:szCs w:val="28"/>
        </w:rPr>
        <w:t xml:space="preserve">В соответствии с ч. 2.1 ст. 176 ЖК РФ контроль за соответствием российской кредитной организации требованиям к величине собственных средств обязан осуществлять владелец специального счета. В случае, если российская кредитная организация, в которой открыт специальный счет, перестает соответствовать требованиям части 2 статьи 176 ЖК РФ, владелец специального счета обязан уведомить в течение пятнадцати дней с момента размещения информации Центральным банком Российской Федерации на своем официальном сайте в сети «Интернет» в письменной форме собственников помещений в многоквартирном доме о необходимости </w:t>
      </w:r>
      <w:r w:rsidRPr="005F240A">
        <w:rPr>
          <w:color w:val="000000"/>
          <w:sz w:val="28"/>
          <w:szCs w:val="28"/>
        </w:rPr>
        <w:lastRenderedPageBreak/>
        <w:t>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прекращения соответствия требованиям части 2 статьи 176 ЖК РФ,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выше указанному основанию,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w:t>
      </w:r>
    </w:p>
    <w:p w:rsidR="00681C8C" w:rsidRPr="00681C8C" w:rsidRDefault="00681C8C" w:rsidP="00D128B1">
      <w:pPr>
        <w:pStyle w:val="a3"/>
        <w:shd w:val="clear" w:color="auto" w:fill="FFFFFF"/>
        <w:spacing w:before="0" w:beforeAutospacing="0" w:after="0" w:afterAutospacing="0"/>
        <w:ind w:firstLine="708"/>
        <w:jc w:val="both"/>
        <w:rPr>
          <w:color w:val="000000"/>
          <w:sz w:val="28"/>
          <w:szCs w:val="28"/>
        </w:rPr>
      </w:pPr>
    </w:p>
    <w:sectPr w:rsidR="00681C8C" w:rsidRPr="00681C8C" w:rsidSect="00331F13">
      <w:footerReference w:type="default" r:id="rId10"/>
      <w:pgSz w:w="11906" w:h="16838"/>
      <w:pgMar w:top="851"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EB" w:rsidRDefault="00AA52EB" w:rsidP="00BE23AA">
      <w:pPr>
        <w:spacing w:after="0" w:line="240" w:lineRule="auto"/>
      </w:pPr>
      <w:r>
        <w:separator/>
      </w:r>
    </w:p>
  </w:endnote>
  <w:endnote w:type="continuationSeparator" w:id="1">
    <w:p w:rsidR="00AA52EB" w:rsidRDefault="00AA52EB"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717"/>
      <w:docPartObj>
        <w:docPartGallery w:val="Page Numbers (Bottom of Page)"/>
        <w:docPartUnique/>
      </w:docPartObj>
    </w:sdtPr>
    <w:sdtContent>
      <w:p w:rsidR="00BE23AA" w:rsidRDefault="00BC7B14">
        <w:pPr>
          <w:pStyle w:val="ae"/>
          <w:jc w:val="right"/>
        </w:pPr>
        <w:fldSimple w:instr=" PAGE   \* MERGEFORMAT ">
          <w:r w:rsidR="00D128B1">
            <w:rPr>
              <w:noProof/>
            </w:rPr>
            <w:t>1</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EB" w:rsidRDefault="00AA52EB" w:rsidP="00BE23AA">
      <w:pPr>
        <w:spacing w:after="0" w:line="240" w:lineRule="auto"/>
      </w:pPr>
      <w:r>
        <w:separator/>
      </w:r>
    </w:p>
  </w:footnote>
  <w:footnote w:type="continuationSeparator" w:id="1">
    <w:p w:rsidR="00AA52EB" w:rsidRDefault="00AA52EB"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165F1"/>
    <w:multiLevelType w:val="multilevel"/>
    <w:tmpl w:val="25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F0F2A"/>
    <w:multiLevelType w:val="multilevel"/>
    <w:tmpl w:val="F36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E1BA7"/>
    <w:multiLevelType w:val="multilevel"/>
    <w:tmpl w:val="FC1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3"/>
  </w:num>
  <w:num w:numId="4">
    <w:abstractNumId w:val="13"/>
  </w:num>
  <w:num w:numId="5">
    <w:abstractNumId w:val="28"/>
  </w:num>
  <w:num w:numId="6">
    <w:abstractNumId w:val="7"/>
  </w:num>
  <w:num w:numId="7">
    <w:abstractNumId w:val="19"/>
  </w:num>
  <w:num w:numId="8">
    <w:abstractNumId w:val="26"/>
  </w:num>
  <w:num w:numId="9">
    <w:abstractNumId w:val="25"/>
  </w:num>
  <w:num w:numId="10">
    <w:abstractNumId w:val="4"/>
  </w:num>
  <w:num w:numId="11">
    <w:abstractNumId w:val="12"/>
  </w:num>
  <w:num w:numId="12">
    <w:abstractNumId w:val="2"/>
  </w:num>
  <w:num w:numId="13">
    <w:abstractNumId w:val="1"/>
  </w:num>
  <w:num w:numId="14">
    <w:abstractNumId w:val="23"/>
  </w:num>
  <w:num w:numId="15">
    <w:abstractNumId w:val="30"/>
  </w:num>
  <w:num w:numId="16">
    <w:abstractNumId w:val="29"/>
  </w:num>
  <w:num w:numId="17">
    <w:abstractNumId w:val="27"/>
  </w:num>
  <w:num w:numId="18">
    <w:abstractNumId w:val="20"/>
  </w:num>
  <w:num w:numId="19">
    <w:abstractNumId w:val="10"/>
  </w:num>
  <w:num w:numId="20">
    <w:abstractNumId w:val="8"/>
  </w:num>
  <w:num w:numId="21">
    <w:abstractNumId w:val="5"/>
  </w:num>
  <w:num w:numId="22">
    <w:abstractNumId w:val="14"/>
  </w:num>
  <w:num w:numId="23">
    <w:abstractNumId w:val="6"/>
  </w:num>
  <w:num w:numId="24">
    <w:abstractNumId w:val="18"/>
  </w:num>
  <w:num w:numId="25">
    <w:abstractNumId w:val="0"/>
  </w:num>
  <w:num w:numId="26">
    <w:abstractNumId w:val="21"/>
  </w:num>
  <w:num w:numId="27">
    <w:abstractNumId w:val="9"/>
  </w:num>
  <w:num w:numId="28">
    <w:abstractNumId w:val="17"/>
  </w:num>
  <w:num w:numId="29">
    <w:abstractNumId w:val="15"/>
  </w:num>
  <w:num w:numId="30">
    <w:abstractNumId w:val="16"/>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A65AD"/>
    <w:rsid w:val="000B2C11"/>
    <w:rsid w:val="000C3841"/>
    <w:rsid w:val="000D10DD"/>
    <w:rsid w:val="000D2BFF"/>
    <w:rsid w:val="000D7114"/>
    <w:rsid w:val="000F4586"/>
    <w:rsid w:val="00104E0E"/>
    <w:rsid w:val="00107B38"/>
    <w:rsid w:val="001469A6"/>
    <w:rsid w:val="001575C8"/>
    <w:rsid w:val="00183F27"/>
    <w:rsid w:val="001C4C68"/>
    <w:rsid w:val="001C4E84"/>
    <w:rsid w:val="001C6354"/>
    <w:rsid w:val="001D123E"/>
    <w:rsid w:val="001F09B8"/>
    <w:rsid w:val="0020570B"/>
    <w:rsid w:val="00206A2A"/>
    <w:rsid w:val="00232552"/>
    <w:rsid w:val="00232B09"/>
    <w:rsid w:val="00234B51"/>
    <w:rsid w:val="00237A57"/>
    <w:rsid w:val="002500FD"/>
    <w:rsid w:val="00252EA4"/>
    <w:rsid w:val="002738D1"/>
    <w:rsid w:val="002774F4"/>
    <w:rsid w:val="002904A3"/>
    <w:rsid w:val="002929A5"/>
    <w:rsid w:val="002A7FD1"/>
    <w:rsid w:val="002B1770"/>
    <w:rsid w:val="002B18AB"/>
    <w:rsid w:val="002B469B"/>
    <w:rsid w:val="002E5249"/>
    <w:rsid w:val="00301311"/>
    <w:rsid w:val="003053E4"/>
    <w:rsid w:val="00306931"/>
    <w:rsid w:val="00331F13"/>
    <w:rsid w:val="00335467"/>
    <w:rsid w:val="0034532F"/>
    <w:rsid w:val="003478B6"/>
    <w:rsid w:val="00360800"/>
    <w:rsid w:val="003637C4"/>
    <w:rsid w:val="00367D68"/>
    <w:rsid w:val="00376452"/>
    <w:rsid w:val="00385941"/>
    <w:rsid w:val="00387641"/>
    <w:rsid w:val="00390BBD"/>
    <w:rsid w:val="00397BB3"/>
    <w:rsid w:val="003A03AF"/>
    <w:rsid w:val="003B5016"/>
    <w:rsid w:val="003C1A0B"/>
    <w:rsid w:val="003D541C"/>
    <w:rsid w:val="003E79D8"/>
    <w:rsid w:val="003F7211"/>
    <w:rsid w:val="0040243E"/>
    <w:rsid w:val="004041FB"/>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23C1A"/>
    <w:rsid w:val="00536013"/>
    <w:rsid w:val="0054320E"/>
    <w:rsid w:val="00547A28"/>
    <w:rsid w:val="0055068B"/>
    <w:rsid w:val="005554BF"/>
    <w:rsid w:val="0055618D"/>
    <w:rsid w:val="00583CC7"/>
    <w:rsid w:val="005A6131"/>
    <w:rsid w:val="005B3D49"/>
    <w:rsid w:val="005B7BD5"/>
    <w:rsid w:val="005D6455"/>
    <w:rsid w:val="005F00C3"/>
    <w:rsid w:val="005F240A"/>
    <w:rsid w:val="005F37AA"/>
    <w:rsid w:val="005F4B78"/>
    <w:rsid w:val="005F671E"/>
    <w:rsid w:val="006277A3"/>
    <w:rsid w:val="00627CAB"/>
    <w:rsid w:val="00631AAE"/>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673A"/>
    <w:rsid w:val="006F310F"/>
    <w:rsid w:val="00720855"/>
    <w:rsid w:val="00733270"/>
    <w:rsid w:val="00744935"/>
    <w:rsid w:val="007954D5"/>
    <w:rsid w:val="0079562A"/>
    <w:rsid w:val="007A7857"/>
    <w:rsid w:val="007B03EC"/>
    <w:rsid w:val="007D1791"/>
    <w:rsid w:val="007D43B6"/>
    <w:rsid w:val="007E07D6"/>
    <w:rsid w:val="007F1E6F"/>
    <w:rsid w:val="00803813"/>
    <w:rsid w:val="008157E9"/>
    <w:rsid w:val="00854AB8"/>
    <w:rsid w:val="00856BFD"/>
    <w:rsid w:val="00862442"/>
    <w:rsid w:val="00875332"/>
    <w:rsid w:val="008777AC"/>
    <w:rsid w:val="00877DAF"/>
    <w:rsid w:val="00897824"/>
    <w:rsid w:val="008B09E5"/>
    <w:rsid w:val="008D372C"/>
    <w:rsid w:val="008F1568"/>
    <w:rsid w:val="00920C7F"/>
    <w:rsid w:val="00923FAE"/>
    <w:rsid w:val="009431B7"/>
    <w:rsid w:val="00953560"/>
    <w:rsid w:val="00990250"/>
    <w:rsid w:val="00997E05"/>
    <w:rsid w:val="009A41E6"/>
    <w:rsid w:val="009E53AA"/>
    <w:rsid w:val="009F409C"/>
    <w:rsid w:val="00A37B65"/>
    <w:rsid w:val="00A71FAC"/>
    <w:rsid w:val="00A7757E"/>
    <w:rsid w:val="00A81314"/>
    <w:rsid w:val="00A948A1"/>
    <w:rsid w:val="00AA52EB"/>
    <w:rsid w:val="00AC5DDB"/>
    <w:rsid w:val="00AD0E93"/>
    <w:rsid w:val="00AD3854"/>
    <w:rsid w:val="00AD7847"/>
    <w:rsid w:val="00AE24DC"/>
    <w:rsid w:val="00AE7678"/>
    <w:rsid w:val="00AF7A97"/>
    <w:rsid w:val="00B109A5"/>
    <w:rsid w:val="00B3094E"/>
    <w:rsid w:val="00B319B1"/>
    <w:rsid w:val="00B401F4"/>
    <w:rsid w:val="00B4458D"/>
    <w:rsid w:val="00BC7B14"/>
    <w:rsid w:val="00BE0AAD"/>
    <w:rsid w:val="00BE23AA"/>
    <w:rsid w:val="00BE6560"/>
    <w:rsid w:val="00BF4B0A"/>
    <w:rsid w:val="00C00A42"/>
    <w:rsid w:val="00C034E9"/>
    <w:rsid w:val="00C23CE9"/>
    <w:rsid w:val="00C312A7"/>
    <w:rsid w:val="00C33CAD"/>
    <w:rsid w:val="00C42EAD"/>
    <w:rsid w:val="00C45B49"/>
    <w:rsid w:val="00C73BCC"/>
    <w:rsid w:val="00C841F9"/>
    <w:rsid w:val="00C87989"/>
    <w:rsid w:val="00C9024E"/>
    <w:rsid w:val="00CA002E"/>
    <w:rsid w:val="00CB3EDF"/>
    <w:rsid w:val="00CD246C"/>
    <w:rsid w:val="00CD73AA"/>
    <w:rsid w:val="00CE02E6"/>
    <w:rsid w:val="00CE2F8C"/>
    <w:rsid w:val="00CF6505"/>
    <w:rsid w:val="00D00801"/>
    <w:rsid w:val="00D128B1"/>
    <w:rsid w:val="00D17FCC"/>
    <w:rsid w:val="00D21A3C"/>
    <w:rsid w:val="00D30B67"/>
    <w:rsid w:val="00D55837"/>
    <w:rsid w:val="00D62B18"/>
    <w:rsid w:val="00D90BA2"/>
    <w:rsid w:val="00D93AA5"/>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54B4"/>
    <w:rsid w:val="00EE70A1"/>
    <w:rsid w:val="00EF7B94"/>
    <w:rsid w:val="00F00F1C"/>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38186369">
      <w:bodyDiv w:val="1"/>
      <w:marLeft w:val="0"/>
      <w:marRight w:val="0"/>
      <w:marTop w:val="0"/>
      <w:marBottom w:val="0"/>
      <w:divBdr>
        <w:top w:val="none" w:sz="0" w:space="0" w:color="auto"/>
        <w:left w:val="none" w:sz="0" w:space="0" w:color="auto"/>
        <w:bottom w:val="none" w:sz="0" w:space="0" w:color="auto"/>
        <w:right w:val="none" w:sz="0" w:space="0" w:color="auto"/>
      </w:divBdr>
      <w:divsChild>
        <w:div w:id="964655717">
          <w:marLeft w:val="0"/>
          <w:marRight w:val="0"/>
          <w:marTop w:val="0"/>
          <w:marBottom w:val="0"/>
          <w:divBdr>
            <w:top w:val="none" w:sz="0" w:space="0" w:color="auto"/>
            <w:left w:val="none" w:sz="0" w:space="0" w:color="auto"/>
            <w:bottom w:val="none" w:sz="0" w:space="0" w:color="auto"/>
            <w:right w:val="none" w:sz="0" w:space="0" w:color="auto"/>
          </w:divBdr>
        </w:div>
        <w:div w:id="688408679">
          <w:marLeft w:val="0"/>
          <w:marRight w:val="0"/>
          <w:marTop w:val="0"/>
          <w:marBottom w:val="0"/>
          <w:divBdr>
            <w:top w:val="none" w:sz="0" w:space="0" w:color="auto"/>
            <w:left w:val="none" w:sz="0" w:space="0" w:color="auto"/>
            <w:bottom w:val="none" w:sz="0" w:space="0" w:color="auto"/>
            <w:right w:val="none" w:sz="0" w:space="0" w:color="auto"/>
          </w:divBdr>
        </w:div>
        <w:div w:id="1042747677">
          <w:marLeft w:val="0"/>
          <w:marRight w:val="0"/>
          <w:marTop w:val="0"/>
          <w:marBottom w:val="0"/>
          <w:divBdr>
            <w:top w:val="none" w:sz="0" w:space="0" w:color="auto"/>
            <w:left w:val="none" w:sz="0" w:space="0" w:color="auto"/>
            <w:bottom w:val="none" w:sz="0" w:space="0" w:color="auto"/>
            <w:right w:val="none" w:sz="0" w:space="0" w:color="auto"/>
          </w:divBdr>
        </w:div>
        <w:div w:id="521478428">
          <w:marLeft w:val="0"/>
          <w:marRight w:val="0"/>
          <w:marTop w:val="0"/>
          <w:marBottom w:val="0"/>
          <w:divBdr>
            <w:top w:val="none" w:sz="0" w:space="0" w:color="auto"/>
            <w:left w:val="none" w:sz="0" w:space="0" w:color="auto"/>
            <w:bottom w:val="none" w:sz="0" w:space="0" w:color="auto"/>
            <w:right w:val="none" w:sz="0" w:space="0" w:color="auto"/>
          </w:divBdr>
        </w:div>
        <w:div w:id="873270547">
          <w:marLeft w:val="0"/>
          <w:marRight w:val="0"/>
          <w:marTop w:val="0"/>
          <w:marBottom w:val="0"/>
          <w:divBdr>
            <w:top w:val="none" w:sz="0" w:space="0" w:color="auto"/>
            <w:left w:val="none" w:sz="0" w:space="0" w:color="auto"/>
            <w:bottom w:val="none" w:sz="0" w:space="0" w:color="auto"/>
            <w:right w:val="none" w:sz="0" w:space="0" w:color="auto"/>
          </w:divBdr>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13687065">
      <w:bodyDiv w:val="1"/>
      <w:marLeft w:val="0"/>
      <w:marRight w:val="0"/>
      <w:marTop w:val="0"/>
      <w:marBottom w:val="0"/>
      <w:divBdr>
        <w:top w:val="none" w:sz="0" w:space="0" w:color="auto"/>
        <w:left w:val="none" w:sz="0" w:space="0" w:color="auto"/>
        <w:bottom w:val="none" w:sz="0" w:space="0" w:color="auto"/>
        <w:right w:val="none" w:sz="0" w:space="0" w:color="auto"/>
      </w:divBdr>
      <w:divsChild>
        <w:div w:id="959993894">
          <w:marLeft w:val="0"/>
          <w:marRight w:val="0"/>
          <w:marTop w:val="0"/>
          <w:marBottom w:val="0"/>
          <w:divBdr>
            <w:top w:val="none" w:sz="0" w:space="0" w:color="auto"/>
            <w:left w:val="none" w:sz="0" w:space="0" w:color="auto"/>
            <w:bottom w:val="none" w:sz="0" w:space="0" w:color="auto"/>
            <w:right w:val="none" w:sz="0" w:space="0" w:color="auto"/>
          </w:divBdr>
        </w:div>
        <w:div w:id="1162430966">
          <w:marLeft w:val="0"/>
          <w:marRight w:val="0"/>
          <w:marTop w:val="0"/>
          <w:marBottom w:val="0"/>
          <w:divBdr>
            <w:top w:val="none" w:sz="0" w:space="0" w:color="auto"/>
            <w:left w:val="none" w:sz="0" w:space="0" w:color="auto"/>
            <w:bottom w:val="none" w:sz="0" w:space="0" w:color="auto"/>
            <w:right w:val="none" w:sz="0" w:space="0" w:color="auto"/>
          </w:divBdr>
        </w:div>
        <w:div w:id="253510930">
          <w:marLeft w:val="0"/>
          <w:marRight w:val="0"/>
          <w:marTop w:val="0"/>
          <w:marBottom w:val="0"/>
          <w:divBdr>
            <w:top w:val="none" w:sz="0" w:space="0" w:color="auto"/>
            <w:left w:val="none" w:sz="0" w:space="0" w:color="auto"/>
            <w:bottom w:val="none" w:sz="0" w:space="0" w:color="auto"/>
            <w:right w:val="none" w:sz="0" w:space="0" w:color="auto"/>
          </w:divBdr>
        </w:div>
        <w:div w:id="1498108996">
          <w:marLeft w:val="0"/>
          <w:marRight w:val="0"/>
          <w:marTop w:val="0"/>
          <w:marBottom w:val="0"/>
          <w:divBdr>
            <w:top w:val="none" w:sz="0" w:space="0" w:color="auto"/>
            <w:left w:val="none" w:sz="0" w:space="0" w:color="auto"/>
            <w:bottom w:val="none" w:sz="0" w:space="0" w:color="auto"/>
            <w:right w:val="none" w:sz="0" w:space="0" w:color="auto"/>
          </w:divBdr>
        </w:div>
        <w:div w:id="1697922317">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37707863">
      <w:bodyDiv w:val="1"/>
      <w:marLeft w:val="0"/>
      <w:marRight w:val="0"/>
      <w:marTop w:val="0"/>
      <w:marBottom w:val="0"/>
      <w:divBdr>
        <w:top w:val="none" w:sz="0" w:space="0" w:color="auto"/>
        <w:left w:val="none" w:sz="0" w:space="0" w:color="auto"/>
        <w:bottom w:val="none" w:sz="0" w:space="0" w:color="auto"/>
        <w:right w:val="none" w:sz="0" w:space="0" w:color="auto"/>
      </w:divBdr>
      <w:divsChild>
        <w:div w:id="2041544632">
          <w:marLeft w:val="0"/>
          <w:marRight w:val="0"/>
          <w:marTop w:val="0"/>
          <w:marBottom w:val="0"/>
          <w:divBdr>
            <w:top w:val="none" w:sz="0" w:space="0" w:color="auto"/>
            <w:left w:val="none" w:sz="0" w:space="0" w:color="auto"/>
            <w:bottom w:val="none" w:sz="0" w:space="0" w:color="auto"/>
            <w:right w:val="none" w:sz="0" w:space="0" w:color="auto"/>
          </w:divBdr>
        </w:div>
        <w:div w:id="1994025509">
          <w:marLeft w:val="0"/>
          <w:marRight w:val="0"/>
          <w:marTop w:val="0"/>
          <w:marBottom w:val="0"/>
          <w:divBdr>
            <w:top w:val="none" w:sz="0" w:space="0" w:color="auto"/>
            <w:left w:val="none" w:sz="0" w:space="0" w:color="auto"/>
            <w:bottom w:val="none" w:sz="0" w:space="0" w:color="auto"/>
            <w:right w:val="none" w:sz="0" w:space="0" w:color="auto"/>
          </w:divBdr>
        </w:div>
        <w:div w:id="661205066">
          <w:marLeft w:val="0"/>
          <w:marRight w:val="0"/>
          <w:marTop w:val="0"/>
          <w:marBottom w:val="0"/>
          <w:divBdr>
            <w:top w:val="none" w:sz="0" w:space="0" w:color="auto"/>
            <w:left w:val="none" w:sz="0" w:space="0" w:color="auto"/>
            <w:bottom w:val="none" w:sz="0" w:space="0" w:color="auto"/>
            <w:right w:val="none" w:sz="0" w:space="0" w:color="auto"/>
          </w:divBdr>
        </w:div>
        <w:div w:id="337470042">
          <w:marLeft w:val="0"/>
          <w:marRight w:val="0"/>
          <w:marTop w:val="0"/>
          <w:marBottom w:val="0"/>
          <w:divBdr>
            <w:top w:val="none" w:sz="0" w:space="0" w:color="auto"/>
            <w:left w:val="none" w:sz="0" w:space="0" w:color="auto"/>
            <w:bottom w:val="none" w:sz="0" w:space="0" w:color="auto"/>
            <w:right w:val="none" w:sz="0" w:space="0" w:color="auto"/>
          </w:divBdr>
        </w:div>
        <w:div w:id="841163120">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r.ru/credit/listfz.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2615</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91</cp:revision>
  <cp:lastPrinted>2022-04-21T01:23:00Z</cp:lastPrinted>
  <dcterms:created xsi:type="dcterms:W3CDTF">2018-09-24T09:07:00Z</dcterms:created>
  <dcterms:modified xsi:type="dcterms:W3CDTF">2022-05-16T04:36:00Z</dcterms:modified>
</cp:coreProperties>
</file>